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2"/>
        <w:gridCol w:w="3224"/>
        <w:gridCol w:w="3868"/>
      </w:tblGrid>
      <w:tr>
        <w:trPr>
          <w:trHeight w:val="398" w:hRule="atLeast"/>
        </w:trPr>
        <w:tc>
          <w:tcPr>
            <w:tcW w:w="1031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53" w:hRule="atLeast"/>
        </w:trPr>
        <w:tc>
          <w:tcPr>
            <w:tcW w:w="3222"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24"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86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06" w:hRule="atLeast"/>
        </w:trPr>
        <w:tc>
          <w:tcPr>
            <w:tcW w:w="3222"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24"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86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様式第５－（ロ）－③</w:t>
      </w:r>
    </w:p>
    <w:tbl>
      <w:tblPr>
        <w:tblStyle w:val="11"/>
        <w:tblW w:w="1031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315"/>
      </w:tblGrid>
      <w:tr>
        <w:trPr>
          <w:trHeight w:val="12414" w:hRule="atLeast"/>
        </w:trPr>
        <w:tc>
          <w:tcPr>
            <w:tcW w:w="103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中小企業信用保険法第２条第５項第５号の規定による認定申請書（ロ－③）</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695" w:rightChars="331"/>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北秋田市長</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　</w:t>
            </w: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180" w:lineRule="exact"/>
              <w:jc w:val="left"/>
              <w:textAlignment w:val="baseline"/>
              <w:rPr>
                <w:rFonts w:hint="default" w:ascii="ＭＳ ゴシック" w:hAnsi="ＭＳ ゴシック" w:eastAsia="ＭＳ ゴシック"/>
                <w:color w:val="000000"/>
                <w:spacing w:val="16"/>
                <w:kern w:val="0"/>
              </w:rPr>
            </w:pPr>
          </w:p>
          <w:p>
            <w:pPr>
              <w:pStyle w:val="39"/>
              <w:jc w:val="left"/>
              <w:rPr>
                <w:rFonts w:hint="default"/>
              </w:rPr>
            </w:pPr>
            <w:r>
              <w:rPr>
                <w:rFonts w:hint="eastAsia"/>
              </w:rPr>
              <w:t>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7"/>
              <w:gridCol w:w="3168"/>
              <w:gridCol w:w="3168"/>
            </w:tblGrid>
            <w:tr>
              <w:trPr>
                <w:trHeight w:val="327" w:hRule="atLeast"/>
              </w:trPr>
              <w:tc>
                <w:tcPr>
                  <w:tcW w:w="3167"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8"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41" w:hRule="atLeast"/>
              </w:trPr>
              <w:tc>
                <w:tcPr>
                  <w:tcW w:w="3167"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8"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8"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※表には、指定業種であって、原油等の価格の上昇を製品等の価格に転嫁できていない事業が属する業種</w:t>
            </w:r>
            <w:r>
              <w:rPr>
                <w:rFonts w:hint="eastAsia" w:ascii="ＭＳ ゴシック" w:hAnsi="ＭＳ ゴシック" w:eastAsia="ＭＳ ゴシック"/>
                <w:color w:val="000000"/>
                <w:spacing w:val="16"/>
                <w:kern w:val="0"/>
              </w:rPr>
              <w:t>(</w:t>
            </w:r>
            <w:r>
              <w:rPr>
                <w:rFonts w:hint="eastAsia" w:ascii="ＭＳ ゴシック" w:hAnsi="ＭＳ ゴシック" w:eastAsia="ＭＳ ゴシック"/>
                <w:color w:val="000000"/>
                <w:spacing w:val="16"/>
                <w:kern w:val="0"/>
              </w:rPr>
              <w:t>日本標準産業分類の細分類番号と細分類業種名</w:t>
            </w:r>
            <w:r>
              <w:rPr>
                <w:rFonts w:hint="eastAsia" w:ascii="ＭＳ ゴシック" w:hAnsi="ＭＳ ゴシック" w:eastAsia="ＭＳ ゴシック"/>
                <w:color w:val="000000"/>
                <w:spacing w:val="16"/>
                <w:kern w:val="0"/>
              </w:rPr>
              <w:t>)</w:t>
            </w:r>
            <w:r>
              <w:rPr>
                <w:rFonts w:hint="eastAsia" w:ascii="ＭＳ ゴシック" w:hAnsi="ＭＳ ゴシック" w:eastAsia="ＭＳ ゴシック"/>
                <w:color w:val="000000"/>
                <w:spacing w:val="16"/>
                <w:kern w:val="0"/>
              </w:rPr>
              <w:t>を記載。当該指定業種が複数ある場合には、その中で、最近１年間で最も売上高等が大きい事業が属する指定業種を左上の太枠に記載。</w:t>
            </w: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①上記の表に記載した指定業種（以下同じ。）に係る原油等の仕入単価の上昇（注２）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上昇率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Ｅ：指定業種に係る原油等の最近１か月間における平均仕入れ単価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ｅ：指定業種に係るＥの期間に対応する前年１か月間の平均仕入れ単価</w:t>
            </w:r>
            <w:r>
              <w:rPr>
                <w:rFonts w:hint="eastAsia" w:ascii="ＭＳ ゴシック" w:hAnsi="ＭＳ ゴシック" w:eastAsia="ＭＳ ゴシック"/>
                <w:color w:val="000000"/>
                <w:spacing w:val="16"/>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②全体の売上原価のうち指定業種に係る原油等の仕入価格が占める割合（注２）</w:t>
            </w:r>
          </w:p>
          <w:p>
            <w:pPr>
              <w:pStyle w:val="0"/>
              <w:suppressAutoHyphens w:val="1"/>
              <w:kinsoku w:val="0"/>
              <w:wordWrap w:val="0"/>
              <w:overflowPunct w:val="0"/>
              <w:autoSpaceDE w:val="0"/>
              <w:autoSpaceDN w:val="0"/>
              <w:adjustRightInd w:val="0"/>
              <w:spacing w:line="240" w:lineRule="exact"/>
              <w:ind w:firstLine="1050" w:firstLineChars="5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Ｓ</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依存率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Ｃ：申込時点における最新の全体の売上原価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Ｓ：Ｃの売上原価に対応する指定業種に係る原油等の仕入価格</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③－１　指定業種に係る製品等価格への転嫁の状況（注３）</w:t>
            </w:r>
          </w:p>
          <w:p>
            <w:pPr>
              <w:pStyle w:val="0"/>
              <w:suppressAutoHyphens w:val="1"/>
              <w:kinsoku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Ａ１</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ａ１</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Ｂ１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ｂ１</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＝Ｐ１</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Ｐ１＝</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Ａ１：申込時点における最近３か月間の指定業種に係る原油等の仕入価格</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ａ１：Ａ１の期間に対応する前年３か月間の指定業種に係る原油等の仕入価格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Ｂ１：申込時点における最近３か月間の指定業種に係る売上高</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color w:val="000000"/>
                <w:spacing w:val="16"/>
                <w:kern w:val="0"/>
              </w:rPr>
            </w:pPr>
            <w:r>
              <w:rPr>
                <w:rFonts w:hint="eastAsia" w:ascii="ＭＳ ゴシック" w:hAnsi="ＭＳ ゴシック" w:eastAsia="ＭＳ ゴシック"/>
                <w:color w:val="000000"/>
                <w:kern w:val="0"/>
              </w:rPr>
              <w:t>　ｂ１：Ｂ１の期間に対応する前年３か月間の指定業種に係る売上高</w:t>
            </w:r>
            <w:r>
              <w:rPr>
                <w:rFonts w:hint="eastAsia" w:ascii="ＭＳ ゴシック" w:hAnsi="ＭＳ ゴシック" w:eastAsia="ＭＳ ゴシック"/>
                <w:color w:val="000000"/>
                <w:spacing w:val="16"/>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③－２　全体に係る製品等価格への転嫁の状況（注３）</w:t>
            </w:r>
          </w:p>
          <w:p>
            <w:pPr>
              <w:pStyle w:val="0"/>
              <w:suppressAutoHyphens w:val="1"/>
              <w:kinsoku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Ａ１</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ａ１</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Ｂ２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ｂ２</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Ｐ２＝</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Ａ１：申込時点における最近３か月間の指定業種に係る原油等の仕入価格</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ａ１：Ａ１の期間に対応する前年３か月間の指定業種に係る原油等の仕入価格</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Ｂ２：申込時点における最近３か月間の全体の売上高</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ｂ２：Ｂ２の期間に対応する前年３か月間の全体の売上高</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160" w:lineRule="exact"/>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wordWrap w:val="0"/>
              <w:overflowPunct w:val="0"/>
              <w:autoSpaceDE w:val="0"/>
              <w:autoSpaceDN w:val="0"/>
              <w:adjustRightInd w:val="0"/>
              <w:spacing w:line="100" w:lineRule="exact"/>
              <w:textAlignment w:val="baseline"/>
              <w:rPr>
                <w:rFonts w:hint="eastAsia" w:asciiTheme="majorEastAsia" w:hAnsiTheme="majorEastAsia" w:eastAsiaTheme="majorEastAsia"/>
                <w:color w:val="000000"/>
                <w:kern w:val="0"/>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97155</wp:posOffset>
                      </wp:positionH>
                      <wp:positionV relativeFrom="paragraph">
                        <wp:posOffset>1270</wp:posOffset>
                      </wp:positionV>
                      <wp:extent cx="6191250" cy="94297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6191250" cy="9429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position-vertical-relative:text;z-index:4;mso-wrap-distance-left:9pt;width:487.5pt;height:74.25pt;mso-position-horizontal-relative:text;position:absolute;margin-left:7.65pt;margin-top:0.1pt;mso-wrap-distance-bottom:0pt;mso-wrap-distance-right:9pt;mso-wrap-distance-top:0pt;" o:spid="_x0000_s1026" o:allowincell="t" o:allowoverlap="t" filled="f" stroked="t" strokecolor="#000000 [3213]" strokeweight="0.5pt" o:spt="1">
                      <v:fill/>
                      <v:stroke linestyle="single" endcap="flat" dashstyle="solid" filltype="solid"/>
                      <v:textbox style="layout-flow:horizontal;"/>
                      <v:imagedata o:title=""/>
                      <w10:wrap type="none" anchorx="text" anchory="text"/>
                    </v:rect>
                  </w:pict>
                </mc:Fallback>
              </mc:AlternateConten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ind w:firstLine="420" w:firstLineChars="200"/>
              <w:textAlignment w:val="baseline"/>
              <w:rPr>
                <w:rFonts w:hint="eastAsia" w:asciiTheme="majorEastAsia" w:hAnsiTheme="majorEastAsia" w:eastAsiaTheme="majorEastAsia"/>
                <w:color w:val="000000"/>
                <w:kern w:val="0"/>
              </w:rPr>
            </w:pPr>
            <w:r>
              <w:rPr>
                <w:rFonts w:hint="eastAsia" w:asciiTheme="majorEastAsia" w:hAnsiTheme="majorEastAsia" w:eastAsiaTheme="majorEastAsia"/>
                <w:color w:val="000000"/>
                <w:kern w:val="0"/>
              </w:rPr>
              <w:t>令和　　年　　月　　日（北秋　　　　　　　　　　）</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kern w:val="0"/>
              </w:rPr>
            </w:pPr>
            <w:r>
              <w:rPr>
                <w:rFonts w:hint="eastAsia" w:asciiTheme="majorEastAsia" w:hAnsiTheme="majorEastAsia" w:eastAsiaTheme="majorEastAsia"/>
                <w:color w:val="000000"/>
                <w:kern w:val="0"/>
              </w:rPr>
              <w:t>　　申請のとおり、相違ないことを認定します。</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kern w:val="0"/>
              </w:rPr>
            </w:pP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spacing w:val="16"/>
                <w:kern w:val="0"/>
              </w:rPr>
              <w:t>※本認定書の有効期間：令和　　年　　月　　日から令和　　年　　月　　日まで</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kern w:val="0"/>
              </w:rPr>
            </w:pPr>
            <w:r>
              <w:rPr>
                <w:rFonts w:hint="eastAsia" w:asciiTheme="majorEastAsia" w:hAnsiTheme="majorEastAsia" w:eastAsiaTheme="majorEastAsia"/>
                <w:color w:val="000000"/>
                <w:kern w:val="0"/>
              </w:rPr>
              <w:t>　　</w:t>
            </w:r>
          </w:p>
          <w:p>
            <w:pPr>
              <w:pStyle w:val="0"/>
              <w:suppressAutoHyphens w:val="1"/>
              <w:kinsoku w:val="0"/>
              <w:wordWrap w:val="0"/>
              <w:overflowPunct w:val="0"/>
              <w:autoSpaceDE w:val="0"/>
              <w:autoSpaceDN w:val="0"/>
              <w:adjustRightInd w:val="0"/>
              <w:spacing w:line="240" w:lineRule="exact"/>
              <w:ind w:left="0" w:leftChars="0" w:right="840" w:rightChars="400" w:firstLine="5566" w:firstLineChars="2300"/>
              <w:textAlignment w:val="baseline"/>
              <w:rPr>
                <w:rFonts w:hint="default" w:ascii="ＭＳ ゴシック" w:hAnsi="ＭＳ ゴシック" w:eastAsia="ＭＳ ゴシック"/>
                <w:color w:val="000000"/>
                <w:kern w:val="0"/>
              </w:rPr>
            </w:pPr>
            <w:bookmarkStart w:id="0" w:name="_GoBack"/>
            <w:bookmarkEnd w:id="0"/>
            <w:r>
              <w:rPr>
                <w:rFonts w:hint="eastAsia" w:asciiTheme="majorEastAsia" w:hAnsiTheme="majorEastAsia" w:eastAsiaTheme="majorEastAsia"/>
                <w:color w:val="000000"/>
                <w:spacing w:val="16"/>
                <w:kern w:val="0"/>
              </w:rPr>
              <w:t>北秋田市長　津谷　永光</w:t>
            </w:r>
            <w:r>
              <w:rPr>
                <w:rFonts w:hint="eastAsia" w:ascii="ＭＳ ゴシック" w:hAnsi="ＭＳ ゴシック" w:eastAsia="ＭＳ ゴシック"/>
                <w:color w:val="000000"/>
                <w:spacing w:val="16"/>
                <w:kern w:val="0"/>
              </w:rPr>
              <w:t>　</w:t>
            </w:r>
          </w:p>
          <w:p>
            <w:pPr>
              <w:pStyle w:val="0"/>
              <w:suppressAutoHyphens w:val="1"/>
              <w:kinsoku w:val="0"/>
              <w:wordWrap w:val="0"/>
              <w:overflowPunct w:val="0"/>
              <w:autoSpaceDE w:val="0"/>
              <w:autoSpaceDN w:val="0"/>
              <w:adjustRightInd w:val="0"/>
              <w:spacing w:line="240" w:lineRule="exact"/>
              <w:ind w:right="840" w:rightChars="400" w:firstLine="5566" w:firstLineChars="230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-45720</wp:posOffset>
                      </wp:positionH>
                      <wp:positionV relativeFrom="paragraph">
                        <wp:posOffset>77470</wp:posOffset>
                      </wp:positionV>
                      <wp:extent cx="6557645" cy="1066800"/>
                      <wp:effectExtent l="0" t="0" r="635" b="635"/>
                      <wp:wrapNone/>
                      <wp:docPr id="1027" name="Text Box 3"/>
                      <a:graphic xmlns:a="http://schemas.openxmlformats.org/drawingml/2006/main">
                        <a:graphicData uri="http://schemas.microsoft.com/office/word/2010/wordprocessingShape">
                          <wps:wsp>
                            <wps:cNvPr id="1027" name="Text Box 3"/>
                            <wps:cNvSpPr txBox="1">
                              <a:spLocks noChangeArrowheads="1"/>
                            </wps:cNvSpPr>
                            <wps:spPr>
                              <a:xfrm>
                                <a:off x="0" y="0"/>
                                <a:ext cx="6557645" cy="1066800"/>
                              </a:xfrm>
                              <a:prstGeom prst="rect">
                                <a:avLst/>
                              </a:prstGeom>
                              <a:noFill/>
                              <a:ln>
                                <a:noFill/>
                              </a:ln>
                            </wps:spPr>
                            <wps:txbx>
                              <w:txbxContent>
                                <w:p>
                                  <w:pPr>
                                    <w:pStyle w:val="0"/>
                                    <w:suppressAutoHyphens w:val="1"/>
                                    <w:spacing w:line="280" w:lineRule="exact"/>
                                    <w:ind w:left="738" w:hanging="738"/>
                                    <w:jc w:val="left"/>
                                    <w:textAlignment w:val="baseline"/>
                                    <w:rPr>
                                      <w:rFonts w:hint="default" w:ascii="ＭＳ ゴシック" w:hAnsi="ＭＳ ゴシック" w:eastAsia="ＭＳ ゴシック"/>
                                      <w:color w:val="000000"/>
                                      <w:kern w:val="0"/>
                                      <w:sz w:val="12"/>
                                    </w:rPr>
                                  </w:pPr>
                                  <w:r>
                                    <w:rPr>
                                      <w:rFonts w:hint="eastAsia" w:ascii="ＭＳ ゴシック" w:hAnsi="ＭＳ ゴシック" w:eastAsia="ＭＳ ゴシック"/>
                                      <w:color w:val="000000"/>
                                      <w:kern w:val="0"/>
                                      <w:sz w:val="12"/>
                                    </w:rPr>
                                    <w:t>（注１）本様式は、指定業種に係る原油等の仕入価格の上昇等を指定業種及び企業全体の製品等の価格に転嫁できていないことによって認定基準を満たす場合に使用する。</w:t>
                                  </w:r>
                                </w:p>
                                <w:p>
                                  <w:pPr>
                                    <w:pStyle w:val="0"/>
                                    <w:suppressAutoHyphens w:val="1"/>
                                    <w:spacing w:line="280" w:lineRule="exact"/>
                                    <w:ind w:left="738" w:hanging="738"/>
                                    <w:jc w:val="left"/>
                                    <w:textAlignment w:val="baseline"/>
                                    <w:rPr>
                                      <w:rFonts w:hint="default" w:ascii="ＭＳ ゴシック" w:hAnsi="ＭＳ ゴシック" w:eastAsia="ＭＳ ゴシック"/>
                                      <w:color w:val="000000"/>
                                      <w:kern w:val="0"/>
                                      <w:sz w:val="12"/>
                                    </w:rPr>
                                  </w:pPr>
                                  <w:r>
                                    <w:rPr>
                                      <w:rFonts w:hint="eastAsia" w:ascii="ＭＳ ゴシック" w:hAnsi="ＭＳ ゴシック" w:eastAsia="ＭＳ ゴシック"/>
                                      <w:color w:val="000000"/>
                                      <w:kern w:val="0"/>
                                      <w:sz w:val="12"/>
                                    </w:rPr>
                                    <w:t>（注２）上昇率及び依存率が２０％以上となっていること。　　</w:t>
                                  </w:r>
                                  <w:r>
                                    <w:rPr>
                                      <w:rFonts w:hint="default" w:ascii="ＭＳ ゴシック" w:hAnsi="ＭＳ ゴシック" w:eastAsia="ＭＳ ゴシック"/>
                                      <w:color w:val="000000"/>
                                      <w:kern w:val="0"/>
                                      <w:sz w:val="12"/>
                                    </w:rPr>
                                    <w:t>　</w:t>
                                  </w:r>
                                  <w:r>
                                    <w:rPr>
                                      <w:rFonts w:hint="eastAsia" w:ascii="ＭＳ ゴシック" w:hAnsi="ＭＳ ゴシック" w:eastAsia="ＭＳ ゴシック"/>
                                      <w:color w:val="000000"/>
                                      <w:kern w:val="0"/>
                                      <w:sz w:val="12"/>
                                    </w:rPr>
                                    <w:t>　</w:t>
                                  </w:r>
                                  <w:r>
                                    <w:rPr>
                                      <w:rFonts w:hint="default" w:ascii="ＭＳ ゴシック" w:hAnsi="ＭＳ ゴシック" w:eastAsia="ＭＳ ゴシック"/>
                                      <w:color w:val="000000"/>
                                      <w:kern w:val="0"/>
                                      <w:sz w:val="12"/>
                                    </w:rPr>
                                    <w:t>　</w:t>
                                  </w:r>
                                  <w:r>
                                    <w:rPr>
                                      <w:rFonts w:hint="eastAsia" w:ascii="ＭＳ ゴシック" w:hAnsi="ＭＳ ゴシック" w:eastAsia="ＭＳ ゴシック"/>
                                      <w:color w:val="000000"/>
                                      <w:kern w:val="0"/>
                                      <w:sz w:val="12"/>
                                    </w:rPr>
                                    <w:t>　</w:t>
                                  </w:r>
                                  <w:r>
                                    <w:rPr>
                                      <w:rFonts w:hint="default" w:ascii="ＭＳ ゴシック" w:hAnsi="ＭＳ ゴシック" w:eastAsia="ＭＳ ゴシック"/>
                                      <w:color w:val="000000"/>
                                      <w:kern w:val="0"/>
                                      <w:sz w:val="12"/>
                                    </w:rPr>
                                    <w:t>　</w:t>
                                  </w:r>
                                  <w:r>
                                    <w:rPr>
                                      <w:rFonts w:hint="eastAsia" w:ascii="ＭＳ ゴシック" w:hAnsi="ＭＳ ゴシック" w:eastAsia="ＭＳ ゴシック"/>
                                      <w:color w:val="000000"/>
                                      <w:kern w:val="0"/>
                                      <w:sz w:val="12"/>
                                    </w:rPr>
                                    <w:t>　</w:t>
                                  </w:r>
                                  <w:r>
                                    <w:rPr>
                                      <w:rFonts w:hint="default" w:ascii="ＭＳ ゴシック" w:hAnsi="ＭＳ ゴシック" w:eastAsia="ＭＳ ゴシック"/>
                                      <w:color w:val="000000"/>
                                      <w:kern w:val="0"/>
                                      <w:sz w:val="12"/>
                                    </w:rPr>
                                    <w:t>　</w:t>
                                  </w:r>
                                  <w:r>
                                    <w:rPr>
                                      <w:rFonts w:hint="eastAsia" w:ascii="ＭＳ ゴシック" w:hAnsi="ＭＳ ゴシック" w:eastAsia="ＭＳ ゴシック"/>
                                      <w:color w:val="000000"/>
                                      <w:kern w:val="0"/>
                                      <w:sz w:val="12"/>
                                    </w:rPr>
                                    <w:t>（注３）Ｐ１＞０、かつ、Ｐ２＞０となっていること。</w:t>
                                  </w:r>
                                </w:p>
                                <w:p>
                                  <w:pPr>
                                    <w:pStyle w:val="0"/>
                                    <w:suppressAutoHyphens w:val="1"/>
                                    <w:spacing w:line="280" w:lineRule="exact"/>
                                    <w:ind w:left="1230" w:hanging="1230"/>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2"/>
                                    </w:rPr>
                                    <w:t>（留意事項）</w:t>
                                  </w:r>
                                </w:p>
                                <w:p>
                                  <w:pPr>
                                    <w:pStyle w:val="0"/>
                                    <w:suppressAutoHyphens w:val="1"/>
                                    <w:spacing w:line="280" w:lineRule="exact"/>
                                    <w:jc w:val="left"/>
                                    <w:textAlignment w:val="baseline"/>
                                    <w:rPr>
                                      <w:rFonts w:hint="default" w:ascii="ＭＳ ゴシック" w:hAnsi="ＭＳ ゴシック" w:eastAsia="ＭＳ ゴシック"/>
                                      <w:color w:val="000000"/>
                                      <w:spacing w:val="16"/>
                                      <w:kern w:val="0"/>
                                      <w:sz w:val="12"/>
                                    </w:rPr>
                                  </w:pPr>
                                  <w:r>
                                    <w:rPr>
                                      <w:rFonts w:hint="eastAsia" w:ascii="ＭＳ ゴシック" w:hAnsi="ＭＳ ゴシック" w:eastAsia="ＭＳ ゴシック"/>
                                      <w:color w:val="000000"/>
                                      <w:kern w:val="0"/>
                                      <w:sz w:val="12"/>
                                    </w:rPr>
                                    <w:t>　①　本認定とは別に、金融機関及び信用保証協会による金融上の審査があります。</w:t>
                                  </w:r>
                                </w:p>
                                <w:p>
                                  <w:pPr>
                                    <w:pStyle w:val="0"/>
                                    <w:suppressAutoHyphens w:val="1"/>
                                    <w:kinsoku w:val="0"/>
                                    <w:autoSpaceDE w:val="0"/>
                                    <w:autoSpaceDN w:val="0"/>
                                    <w:spacing w:line="280" w:lineRule="exact"/>
                                    <w:ind w:left="320" w:hanging="320" w:hangingChars="267"/>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12"/>
                                    </w:rPr>
                                    <w:t>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3" style="mso-position-vertical-relative:text;z-index:2;mso-wrap-distance-left:9pt;width:516.35pt;height:84pt;mso-position-horizontal-relative:text;position:absolute;margin-left:-3.6pt;margin-top:6.1pt;mso-wrap-distance-bottom:0pt;mso-wrap-distance-right:9pt;mso-wrap-distance-top:0pt;v-text-anchor:top;" o:spid="_x0000_s1027" o:allowincell="t" o:allowoverlap="t" filled="f" stroked="f" o:spt="202" type="#_x0000_t202">
                      <v:fill/>
                      <v:textbox style="layout-flow:horizontal;">
                        <w:txbxContent>
                          <w:p>
                            <w:pPr>
                              <w:pStyle w:val="0"/>
                              <w:suppressAutoHyphens w:val="1"/>
                              <w:spacing w:line="280" w:lineRule="exact"/>
                              <w:ind w:left="738" w:hanging="738"/>
                              <w:jc w:val="left"/>
                              <w:textAlignment w:val="baseline"/>
                              <w:rPr>
                                <w:rFonts w:hint="default" w:ascii="ＭＳ ゴシック" w:hAnsi="ＭＳ ゴシック" w:eastAsia="ＭＳ ゴシック"/>
                                <w:color w:val="000000"/>
                                <w:kern w:val="0"/>
                                <w:sz w:val="12"/>
                              </w:rPr>
                            </w:pPr>
                            <w:r>
                              <w:rPr>
                                <w:rFonts w:hint="eastAsia" w:ascii="ＭＳ ゴシック" w:hAnsi="ＭＳ ゴシック" w:eastAsia="ＭＳ ゴシック"/>
                                <w:color w:val="000000"/>
                                <w:kern w:val="0"/>
                                <w:sz w:val="12"/>
                              </w:rPr>
                              <w:t>（注１）本様式は、指定業種に係る原油等の仕入価格の上昇等を指定業種及び企業全体の製品等の価格に転嫁できていないことによって認定基準を満たす場合に使用する。</w:t>
                            </w:r>
                          </w:p>
                          <w:p>
                            <w:pPr>
                              <w:pStyle w:val="0"/>
                              <w:suppressAutoHyphens w:val="1"/>
                              <w:spacing w:line="280" w:lineRule="exact"/>
                              <w:ind w:left="738" w:hanging="738"/>
                              <w:jc w:val="left"/>
                              <w:textAlignment w:val="baseline"/>
                              <w:rPr>
                                <w:rFonts w:hint="default" w:ascii="ＭＳ ゴシック" w:hAnsi="ＭＳ ゴシック" w:eastAsia="ＭＳ ゴシック"/>
                                <w:color w:val="000000"/>
                                <w:kern w:val="0"/>
                                <w:sz w:val="12"/>
                              </w:rPr>
                            </w:pPr>
                            <w:r>
                              <w:rPr>
                                <w:rFonts w:hint="eastAsia" w:ascii="ＭＳ ゴシック" w:hAnsi="ＭＳ ゴシック" w:eastAsia="ＭＳ ゴシック"/>
                                <w:color w:val="000000"/>
                                <w:kern w:val="0"/>
                                <w:sz w:val="12"/>
                              </w:rPr>
                              <w:t>（注２）上昇率及び依存率が２０％以上となっていること。　　</w:t>
                            </w:r>
                            <w:r>
                              <w:rPr>
                                <w:rFonts w:hint="default" w:ascii="ＭＳ ゴシック" w:hAnsi="ＭＳ ゴシック" w:eastAsia="ＭＳ ゴシック"/>
                                <w:color w:val="000000"/>
                                <w:kern w:val="0"/>
                                <w:sz w:val="12"/>
                              </w:rPr>
                              <w:t>　</w:t>
                            </w:r>
                            <w:r>
                              <w:rPr>
                                <w:rFonts w:hint="eastAsia" w:ascii="ＭＳ ゴシック" w:hAnsi="ＭＳ ゴシック" w:eastAsia="ＭＳ ゴシック"/>
                                <w:color w:val="000000"/>
                                <w:kern w:val="0"/>
                                <w:sz w:val="12"/>
                              </w:rPr>
                              <w:t>　</w:t>
                            </w:r>
                            <w:r>
                              <w:rPr>
                                <w:rFonts w:hint="default" w:ascii="ＭＳ ゴシック" w:hAnsi="ＭＳ ゴシック" w:eastAsia="ＭＳ ゴシック"/>
                                <w:color w:val="000000"/>
                                <w:kern w:val="0"/>
                                <w:sz w:val="12"/>
                              </w:rPr>
                              <w:t>　</w:t>
                            </w:r>
                            <w:r>
                              <w:rPr>
                                <w:rFonts w:hint="eastAsia" w:ascii="ＭＳ ゴシック" w:hAnsi="ＭＳ ゴシック" w:eastAsia="ＭＳ ゴシック"/>
                                <w:color w:val="000000"/>
                                <w:kern w:val="0"/>
                                <w:sz w:val="12"/>
                              </w:rPr>
                              <w:t>　</w:t>
                            </w:r>
                            <w:r>
                              <w:rPr>
                                <w:rFonts w:hint="default" w:ascii="ＭＳ ゴシック" w:hAnsi="ＭＳ ゴシック" w:eastAsia="ＭＳ ゴシック"/>
                                <w:color w:val="000000"/>
                                <w:kern w:val="0"/>
                                <w:sz w:val="12"/>
                              </w:rPr>
                              <w:t>　</w:t>
                            </w:r>
                            <w:r>
                              <w:rPr>
                                <w:rFonts w:hint="eastAsia" w:ascii="ＭＳ ゴシック" w:hAnsi="ＭＳ ゴシック" w:eastAsia="ＭＳ ゴシック"/>
                                <w:color w:val="000000"/>
                                <w:kern w:val="0"/>
                                <w:sz w:val="12"/>
                              </w:rPr>
                              <w:t>　</w:t>
                            </w:r>
                            <w:r>
                              <w:rPr>
                                <w:rFonts w:hint="default" w:ascii="ＭＳ ゴシック" w:hAnsi="ＭＳ ゴシック" w:eastAsia="ＭＳ ゴシック"/>
                                <w:color w:val="000000"/>
                                <w:kern w:val="0"/>
                                <w:sz w:val="12"/>
                              </w:rPr>
                              <w:t>　</w:t>
                            </w:r>
                            <w:r>
                              <w:rPr>
                                <w:rFonts w:hint="eastAsia" w:ascii="ＭＳ ゴシック" w:hAnsi="ＭＳ ゴシック" w:eastAsia="ＭＳ ゴシック"/>
                                <w:color w:val="000000"/>
                                <w:kern w:val="0"/>
                                <w:sz w:val="12"/>
                              </w:rPr>
                              <w:t>（注３）Ｐ１＞０、かつ、Ｐ２＞０となっていること。</w:t>
                            </w:r>
                          </w:p>
                          <w:p>
                            <w:pPr>
                              <w:pStyle w:val="0"/>
                              <w:suppressAutoHyphens w:val="1"/>
                              <w:spacing w:line="280" w:lineRule="exact"/>
                              <w:ind w:left="1230" w:hanging="1230"/>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2"/>
                              </w:rPr>
                              <w:t>（留意事項）</w:t>
                            </w:r>
                          </w:p>
                          <w:p>
                            <w:pPr>
                              <w:pStyle w:val="0"/>
                              <w:suppressAutoHyphens w:val="1"/>
                              <w:spacing w:line="280" w:lineRule="exact"/>
                              <w:jc w:val="left"/>
                              <w:textAlignment w:val="baseline"/>
                              <w:rPr>
                                <w:rFonts w:hint="default" w:ascii="ＭＳ ゴシック" w:hAnsi="ＭＳ ゴシック" w:eastAsia="ＭＳ ゴシック"/>
                                <w:color w:val="000000"/>
                                <w:spacing w:val="16"/>
                                <w:kern w:val="0"/>
                                <w:sz w:val="12"/>
                              </w:rPr>
                            </w:pPr>
                            <w:r>
                              <w:rPr>
                                <w:rFonts w:hint="eastAsia" w:ascii="ＭＳ ゴシック" w:hAnsi="ＭＳ ゴシック" w:eastAsia="ＭＳ ゴシック"/>
                                <w:color w:val="000000"/>
                                <w:kern w:val="0"/>
                                <w:sz w:val="12"/>
                              </w:rPr>
                              <w:t>　①　本認定とは別に、金融機関及び信用保証協会による金融上の審査があります。</w:t>
                            </w:r>
                          </w:p>
                          <w:p>
                            <w:pPr>
                              <w:pStyle w:val="0"/>
                              <w:suppressAutoHyphens w:val="1"/>
                              <w:kinsoku w:val="0"/>
                              <w:autoSpaceDE w:val="0"/>
                              <w:autoSpaceDN w:val="0"/>
                              <w:spacing w:line="280" w:lineRule="exact"/>
                              <w:ind w:left="320" w:hanging="320" w:hangingChars="267"/>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12"/>
                              </w:rPr>
                              <w:t>　②　市町村長又は特別区長から認定を受けた後、本認定の有効期間内に金融機関又は信用保証協会に対して、経営安定関連保証の申込みを行うことが必要です。</w:t>
                            </w:r>
                          </w:p>
                        </w:txbxContent>
                      </v:textbox>
                      <v:imagedata o:title=""/>
                      <w10:wrap type="none" anchorx="text" anchory="text"/>
                    </v:shape>
                  </w:pict>
                </mc:Fallback>
              </mc:AlternateContent>
            </w:r>
          </w:p>
        </w:tc>
      </w:tr>
    </w:tbl>
    <w:p>
      <w:pPr>
        <w:pStyle w:val="0"/>
        <w:suppressAutoHyphens w:val="1"/>
        <w:spacing w:line="320" w:lineRule="exact"/>
        <w:ind w:left="737" w:hanging="737"/>
        <w:jc w:val="right"/>
        <w:textAlignment w:val="baseline"/>
        <w:rPr>
          <w:rFonts w:hint="default" w:ascii="ＭＳ ゴシック" w:hAnsi="ＭＳ ゴシック" w:eastAsia="ＭＳ ゴシック"/>
          <w:color w:val="000000"/>
          <w:kern w:val="0"/>
          <w:sz w:val="24"/>
        </w:rPr>
      </w:pPr>
    </w:p>
    <w:p>
      <w:pPr>
        <w:pStyle w:val="0"/>
        <w:suppressAutoHyphens w:val="1"/>
        <w:spacing w:line="320" w:lineRule="exact"/>
        <w:ind w:left="737" w:right="10920" w:hanging="737"/>
        <w:jc w:val="right"/>
        <w:textAlignment w:val="baseline"/>
        <w:rPr>
          <w:rFonts w:hint="default" w:ascii="ＭＳ ゴシック" w:hAnsi="ＭＳ ゴシック" w:eastAsia="ＭＳ ゴシック"/>
          <w:color w:val="000000"/>
          <w:kern w:val="0"/>
        </w:rPr>
        <w:sectPr>
          <w:pgSz w:w="11906" w:h="16838"/>
          <w:pgMar w:top="567" w:right="720" w:bottom="510" w:left="720" w:header="851" w:footer="737" w:gutter="0"/>
          <w:cols w:space="720"/>
          <w:textDirection w:val="lrTb"/>
          <w:docGrid w:linePitch="360"/>
        </w:sectPr>
      </w:pPr>
      <w:r>
        <w:rPr>
          <w:rFonts w:hint="default" w:ascii="ＭＳ ゴシック" w:hAnsi="ＭＳ ゴシック" w:eastAsia="ＭＳ ゴシック"/>
          <w:color w:val="000000"/>
          <w:kern w:val="0"/>
          <w:sz w:val="24"/>
        </w:rPr>
        <mc:AlternateContent>
          <mc:Choice Requires="wps">
            <w:drawing>
              <wp:anchor distT="0" distB="0" distL="114300" distR="114300" simplePos="0" relativeHeight="3" behindDoc="0" locked="0" layoutInCell="1" hidden="0" allowOverlap="1">
                <wp:simplePos x="0" y="0"/>
                <wp:positionH relativeFrom="column">
                  <wp:posOffset>2971165</wp:posOffset>
                </wp:positionH>
                <wp:positionV relativeFrom="paragraph">
                  <wp:posOffset>408940</wp:posOffset>
                </wp:positionV>
                <wp:extent cx="180975" cy="111760"/>
                <wp:effectExtent l="0" t="0" r="635" b="635"/>
                <wp:wrapNone/>
                <wp:docPr id="1028" name="正方形/長方形 7"/>
                <a:graphic xmlns:a="http://schemas.openxmlformats.org/drawingml/2006/main">
                  <a:graphicData uri="http://schemas.microsoft.com/office/word/2010/wordprocessingShape">
                    <wps:wsp>
                      <wps:cNvPr id="1028" name="正方形/長方形 7"/>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7" style="mso-position-vertical-relative:text;z-index:3;mso-wrap-distance-left:9pt;width:14.25pt;height:8.8000000000000007pt;mso-position-horizontal-relative:text;position:absolute;margin-left:233.95pt;margin-top:32.200000000000003pt;mso-wrap-distance-bottom:0pt;mso-wrap-distance-right:9pt;mso-wrap-distance-top:0pt;" o:spid="_x0000_s1028" o:allowincell="t" o:allowoverlap="t" filled="t" fillcolor="#ffffff [3212]" stroked="f" strokecolor="#385d8a" strokeweight="2pt" o:spt="1">
                <v:fill/>
                <v:stroke linestyle="single" endcap="flat" dashstyle="solid"/>
                <v:textbox style="layout-flow:horizontal;"/>
                <v:imagedata o:title=""/>
                <w10:wrap type="none" anchorx="text" anchory="text"/>
              </v:rect>
            </w:pict>
          </mc:Fallback>
        </mc:AlternateContent>
      </w:r>
    </w:p>
    <w:p>
      <w:pPr>
        <w:pStyle w:val="0"/>
        <w:rPr>
          <w:rFonts w:hint="default"/>
        </w:rPr>
      </w:pPr>
    </w:p>
    <w:sectPr>
      <w:pgSz w:w="11906" w:h="16838"/>
      <w:pgMar w:top="454" w:right="720" w:bottom="397" w:left="720"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2</Pages>
  <Words>3</Words>
  <Characters>1203</Characters>
  <Application>JUST Note</Application>
  <Lines>75</Lines>
  <Paragraphs>46</Paragraphs>
  <Company>経済産業省</Company>
  <CharactersWithSpaces>1824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杉渕 拓弥</cp:lastModifiedBy>
  <cp:lastPrinted>2021-12-24T06:59:00Z</cp:lastPrinted>
  <dcterms:created xsi:type="dcterms:W3CDTF">2021-12-24T06:26:00Z</dcterms:created>
  <dcterms:modified xsi:type="dcterms:W3CDTF">2024-07-02T08:06:35Z</dcterms:modified>
  <cp:revision>6</cp:revision>
</cp:coreProperties>
</file>