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3342" w:type="dxa"/>
        <w:tblInd w:w="6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2"/>
      </w:tblGrid>
      <w:tr>
        <w:trPr>
          <w:trHeight w:val="400" w:hRule="atLeast"/>
        </w:trPr>
        <w:tc>
          <w:tcPr>
            <w:tcW w:w="33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Theme="majorEastAsia" w:hAnsiTheme="majorEastAsia" w:eastAsiaTheme="majorEastAsia"/>
              </w:rPr>
              <w:t>認定権者記載欄</w:t>
            </w:r>
          </w:p>
        </w:tc>
      </w:tr>
      <w:tr>
        <w:trPr>
          <w:trHeight w:val="273" w:hRule="atLeast"/>
        </w:trPr>
        <w:tc>
          <w:tcPr>
            <w:tcW w:w="334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様式第５－（ロ）－②</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中小企業信用保険法第２条第５項第５号の規定による認定申請書（ロ－②）</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北秋田市長</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1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487" w:rightChars="23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auto"/>
              </w:rPr>
              <w:t>○○○業（注２）</w:t>
            </w:r>
            <w:r>
              <w:rPr>
                <w:rFonts w:hint="eastAsia" w:ascii="ＭＳ ゴシック" w:hAnsi="ＭＳ ゴシック" w:eastAsia="ＭＳ ゴシック"/>
                <w:color w:val="000000"/>
                <w:kern w:val="0"/>
              </w:rPr>
              <w:t>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①原油等の仕入単価の上昇（注３）</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主たる業種に係る上昇率</w:t>
            </w:r>
            <w:r>
              <w:rPr>
                <w:rFonts w:hint="default" w:ascii="ＭＳ ゴシック" w:hAnsi="ＭＳ ゴシック" w:eastAsia="ＭＳ ゴシック"/>
                <w:color w:val="000000"/>
                <w:kern w:val="0"/>
                <w:u w:val="single" w:color="auto"/>
              </w:rPr>
              <w:softHyphen/>
            </w:r>
            <w:r>
              <w:rPr>
                <w:rFonts w:hint="default"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全体に係る上昇率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主たる業種に係る平均仕入単価　　　　円</w:t>
            </w:r>
          </w:p>
          <w:p>
            <w:pPr>
              <w:pStyle w:val="0"/>
              <w:suppressAutoHyphens w:val="1"/>
              <w:kinsoku w:val="0"/>
              <w:overflowPunct w:val="0"/>
              <w:autoSpaceDE w:val="0"/>
              <w:autoSpaceDN w:val="0"/>
              <w:adjustRightInd w:val="0"/>
              <w:spacing w:line="240" w:lineRule="exact"/>
              <w:ind w:firstLine="5324" w:firstLineChars="220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u w:val="single" w:color="auto"/>
              </w:rPr>
              <w:t>全体に係る平均仕入単価</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主たる業種に係る平均仕入単価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円</w:t>
            </w:r>
          </w:p>
          <w:p>
            <w:pPr>
              <w:pStyle w:val="0"/>
              <w:suppressAutoHyphens w:val="1"/>
              <w:kinsoku w:val="0"/>
              <w:overflowPunct w:val="0"/>
              <w:autoSpaceDE w:val="0"/>
              <w:autoSpaceDN w:val="0"/>
              <w:adjustRightInd w:val="0"/>
              <w:spacing w:line="240" w:lineRule="exact"/>
              <w:ind w:firstLine="5808" w:firstLineChars="240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u w:val="single" w:color="auto"/>
              </w:rPr>
              <w:t>全体に係る平均仕入単価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②原油等が売上原価に占める割合（注３）</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Ｓ</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主たる業種に係る依存率</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全体に係る依存率</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Ｃ：申込時点における最新の売上原価</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主たる業種に係る売上原価</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全体にかかる売上原価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Ｓ：Ｃの売上原価に対応する原油等の仕入価格</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主たる業種に係る仕入れ価格</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全体に係る仕入れ価格</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③製品等価格への転嫁の状況（注４）</w:t>
            </w:r>
          </w:p>
          <w:p>
            <w:pPr>
              <w:pStyle w:val="0"/>
              <w:tabs>
                <w:tab w:val="center" w:leader="none" w:pos="4252"/>
                <w:tab w:val="right" w:leader="none" w:pos="8504"/>
              </w:tabs>
              <w:suppressAutoHyphens w:val="1"/>
              <w:kinsoku w:val="0"/>
              <w:overflowPunct w:val="0"/>
              <w:autoSpaceDE w:val="0"/>
              <w:autoSpaceDN w:val="0"/>
              <w:adjustRightInd w:val="0"/>
              <w:snapToGrid w:val="0"/>
              <w:spacing w:line="230" w:lineRule="exac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主たる業種に係る転嫁の状況　Ｐ＝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全体に係る転嫁の状況</w:t>
            </w:r>
            <w:r>
              <w:rPr>
                <w:rFonts w:hint="eastAsia" w:ascii="ＭＳ ゴシック" w:hAnsi="ＭＳ ゴシック" w:eastAsia="ＭＳ ゴシック"/>
                <w:color w:val="000000"/>
                <w:kern w:val="0"/>
                <w:u w:val="single" w:color="000000"/>
              </w:rPr>
              <w:t>　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Ａ：申込時点における最近３か月間の原油等の仕入価格</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主たる業種に係る仕入価格</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全体に係る仕入価格</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ａ：Ａの期間に対応する前年３か月間の原油等の仕入価格</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主たる業種に係る仕入価格</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全体に係る仕入価格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Ｂ：申込時点における最近３か月間の売上高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主たる業種に係る売上高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全体に係る売上高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ｂ：Ｂの期間に対応する前年３か月間の売上高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主たる業種に係る売上高</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mc:AlternateContent>
                <mc:Choice Requires="wps">
                  <w:drawing>
                    <wp:anchor distT="0" distB="0" distL="114300" distR="114300" simplePos="0" relativeHeight="3" behindDoc="0" locked="0" layoutInCell="1" hidden="0" allowOverlap="1">
                      <wp:simplePos x="0" y="0"/>
                      <wp:positionH relativeFrom="column">
                        <wp:posOffset>50800</wp:posOffset>
                      </wp:positionH>
                      <wp:positionV relativeFrom="paragraph">
                        <wp:posOffset>106045</wp:posOffset>
                      </wp:positionV>
                      <wp:extent cx="6105525" cy="9525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105525"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3;mso-wrap-distance-left:9pt;width:480.75pt;height:75pt;mso-position-horizontal-relative:text;position:absolute;margin-left:4pt;margin-top:8.35pt;mso-wrap-distance-bottom:0pt;mso-wrap-distance-right:9pt;mso-wrap-distance-top:0pt;" o:spid="_x0000_s1026" o:allowincell="t" o:allowoverlap="t" filled="f" stroked="t" strokecolor="#000000 [3213]" strokeweight="0.5pt" o:spt="1">
                      <v:fill/>
                      <v:stroke linestyle="single" endcap="flat" dashstyle="solid" filltype="solid"/>
                      <v:textbox style="layout-flow:horizontal;"/>
                      <v:imagedata o:title=""/>
                      <w10:wrap type="none" anchorx="text" anchory="text"/>
                    </v:rect>
                  </w:pict>
                </mc:Fallback>
              </mc:AlternateContent>
            </w:r>
          </w:p>
          <w:p>
            <w:pPr>
              <w:pStyle w:val="0"/>
              <w:suppressAutoHyphens w:val="1"/>
              <w:kinsoku w:val="0"/>
              <w:wordWrap w:val="0"/>
              <w:overflowPunct w:val="0"/>
              <w:autoSpaceDE w:val="0"/>
              <w:autoSpaceDN w:val="0"/>
              <w:adjustRightInd w:val="0"/>
              <w:spacing w:line="240" w:lineRule="exact"/>
              <w:textAlignment w:val="baseline"/>
              <w:rPr>
                <w:rFonts w:hint="eastAsia" w:asciiTheme="majorEastAsia" w:hAnsiTheme="majorEastAsia" w:eastAsiaTheme="majorEastAsia"/>
                <w:color w:val="000000"/>
                <w:kern w:val="0"/>
              </w:rPr>
            </w:pPr>
            <w:r>
              <w:rPr>
                <w:rFonts w:hint="eastAsia" w:ascii="ＭＳ ゴシック" w:hAnsi="ＭＳ ゴシック" w:eastAsia="ＭＳ ゴシック"/>
                <w:color w:val="000000"/>
                <w:kern w:val="0"/>
              </w:rPr>
              <w:t>　　</w:t>
            </w:r>
            <w:r>
              <w:rPr>
                <w:rFonts w:hint="eastAsia" w:asciiTheme="majorEastAsia" w:hAnsiTheme="majorEastAsia" w:eastAsiaTheme="majorEastAsia"/>
                <w:color w:val="000000"/>
                <w:kern w:val="0"/>
              </w:rPr>
              <w:t>令和　　年　　月　　日（北秋　　　　　　　　　　）</w:t>
            </w:r>
          </w:p>
          <w:p>
            <w:pPr>
              <w:pStyle w:val="0"/>
              <w:suppressAutoHyphens w:val="1"/>
              <w:kinsoku w:val="0"/>
              <w:wordWrap w:val="0"/>
              <w:overflowPunct w:val="0"/>
              <w:autoSpaceDE w:val="0"/>
              <w:autoSpaceDN w:val="0"/>
              <w:adjustRightInd w:val="0"/>
              <w:spacing w:line="240" w:lineRule="exact"/>
              <w:jc w:val="left"/>
              <w:textAlignment w:val="baseline"/>
              <w:rPr>
                <w:rFonts w:hint="eastAsia" w:asciiTheme="majorEastAsia" w:hAnsiTheme="majorEastAsia" w:eastAsiaTheme="majorEastAsia"/>
                <w:color w:val="000000"/>
                <w:kern w:val="0"/>
              </w:rPr>
            </w:pPr>
            <w:r>
              <w:rPr>
                <w:rFonts w:hint="eastAsia" w:asciiTheme="majorEastAsia" w:hAnsiTheme="majorEastAsia" w:eastAsiaTheme="majorEastAsia"/>
                <w:color w:val="000000"/>
                <w:kern w:val="0"/>
              </w:rPr>
              <w:t>　　申請のとおり、相違ないことを認定します。</w:t>
            </w:r>
          </w:p>
          <w:p>
            <w:pPr>
              <w:pStyle w:val="0"/>
              <w:suppressAutoHyphens w:val="1"/>
              <w:kinsoku w:val="0"/>
              <w:wordWrap w:val="0"/>
              <w:overflowPunct w:val="0"/>
              <w:autoSpaceDE w:val="0"/>
              <w:autoSpaceDN w:val="0"/>
              <w:adjustRightInd w:val="0"/>
              <w:spacing w:line="240" w:lineRule="exact"/>
              <w:jc w:val="left"/>
              <w:textAlignment w:val="baseline"/>
              <w:rPr>
                <w:rFonts w:hint="eastAsia" w:asciiTheme="majorEastAsia" w:hAnsiTheme="majorEastAsia" w:eastAsiaTheme="majorEastAsia"/>
                <w:color w:val="000000"/>
                <w:kern w:val="0"/>
              </w:rPr>
            </w:pP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spacing w:val="16"/>
                <w:kern w:val="0"/>
              </w:rPr>
              <w:t>※本認定書の有効期間：令和　　年　　月　　日から令和　　年　　月　　日まで</w:t>
            </w:r>
          </w:p>
          <w:p>
            <w:pPr>
              <w:pStyle w:val="0"/>
              <w:suppressAutoHyphens w:val="1"/>
              <w:kinsoku w:val="0"/>
              <w:wordWrap w:val="0"/>
              <w:overflowPunct w:val="0"/>
              <w:autoSpaceDE w:val="0"/>
              <w:autoSpaceDN w:val="0"/>
              <w:adjustRightInd w:val="0"/>
              <w:spacing w:line="240" w:lineRule="exact"/>
              <w:jc w:val="left"/>
              <w:textAlignment w:val="baseline"/>
              <w:rPr>
                <w:rFonts w:hint="eastAsia" w:asciiTheme="majorEastAsia" w:hAnsiTheme="majorEastAsia" w:eastAsiaTheme="majorEastAsia"/>
                <w:color w:val="000000"/>
                <w:spacing w:val="16"/>
                <w:kern w:val="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right"/>
              <w:textAlignment w:val="baseline"/>
              <w:rPr>
                <w:rFonts w:hint="default" w:ascii="ＭＳ ゴシック" w:hAnsi="ＭＳ ゴシック" w:eastAsia="ＭＳ ゴシック"/>
                <w:color w:val="000000"/>
                <w:kern w:val="0"/>
              </w:rPr>
            </w:pPr>
            <w:r>
              <w:rPr>
                <w:rFonts w:hint="eastAsia" w:asciiTheme="majorEastAsia" w:hAnsiTheme="majorEastAsia" w:eastAsiaTheme="majorEastAsia"/>
                <w:color w:val="000000"/>
                <w:spacing w:val="16"/>
                <w:kern w:val="0"/>
              </w:rPr>
              <w:t>　　　　　　　　北秋田市長　津谷　永光　　</w:t>
            </w:r>
            <w:r>
              <w:rPr>
                <w:rFonts w:hint="eastAsia" w:ascii="ＭＳ ゴシック" w:hAnsi="ＭＳ ゴシック" w:eastAsia="ＭＳ ゴシック"/>
                <w:color w:val="000000"/>
                <w:spacing w:val="16"/>
                <w:kern w:val="0"/>
              </w:rPr>
              <w:t>　　　</w:t>
            </w:r>
            <w:bookmarkStart w:id="0" w:name="_GoBack"/>
            <w:bookmarkEnd w:id="0"/>
            <w:r>
              <w:rPr>
                <w:rFonts w:hint="eastAsia" w:ascii="ＭＳ ゴシック" w:hAnsi="ＭＳ ゴシック" w:eastAsia="ＭＳ ゴシック"/>
                <w:color w:val="000000"/>
                <w:spacing w:val="16"/>
                <w:kern w:val="0"/>
              </w:rPr>
              <w:t>　　</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p>
          <w:p>
            <w:pPr>
              <w:pStyle w:val="0"/>
              <w:suppressAutoHyphens w:val="1"/>
              <w:kinsoku w:val="0"/>
              <w:wordWrap w:val="0"/>
              <w:overflowPunct w:val="0"/>
              <w:autoSpaceDE w:val="0"/>
              <w:autoSpaceDN w:val="0"/>
              <w:adjustRightInd w:val="0"/>
              <w:spacing w:line="10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spacing w:line="240" w:lineRule="exact"/>
        <w:ind w:left="862" w:hanging="862"/>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注１）本様式は、主たる事業（最近１年間の売上高等が最も大きい事業）が属する業種（主たる業種）が指定業種である場合であって、主たる業種及び申請者全体の双方が認定基準を満たす場合に使用する。</w:t>
      </w:r>
    </w:p>
    <w:p>
      <w:pPr>
        <w:pStyle w:val="0"/>
        <w:suppressAutoHyphens w:val="1"/>
        <w:spacing w:line="240" w:lineRule="exact"/>
        <w:ind w:left="862" w:hanging="862"/>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（注２）</w:t>
      </w:r>
      <w:r>
        <w:rPr>
          <w:rFonts w:hint="eastAsia" w:ascii="ＭＳ ゴシック" w:hAnsi="ＭＳ ゴシック" w:eastAsia="ＭＳ ゴシック"/>
          <w:color w:val="000000"/>
          <w:spacing w:val="16"/>
          <w:kern w:val="0"/>
          <w:sz w:val="16"/>
        </w:rPr>
        <w:t>○○○には、主たる事業が属する指定業種（日本標準産業分類の細分類番号と細分類業種名）を記載。</w:t>
      </w:r>
    </w:p>
    <w:p>
      <w:pPr>
        <w:pStyle w:val="0"/>
        <w:suppressAutoHyphens w:val="1"/>
        <w:spacing w:line="240" w:lineRule="exact"/>
        <w:ind w:left="862" w:hanging="862"/>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（注３）主たる業種及び申請者全体の原油等の仕入単価、売上原価、原油等の仕入価格を記載。上昇率及び依存率が２０％以上となっていること。</w:t>
      </w:r>
    </w:p>
    <w:p>
      <w:pPr>
        <w:pStyle w:val="0"/>
        <w:suppressAutoHyphens w:val="1"/>
        <w:spacing w:line="240" w:lineRule="exact"/>
        <w:ind w:left="738" w:hanging="738"/>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（注４）主たる業種及び申請者全体の原油等の仕入価格、売上高を記載。Ｐ＞０となっていること。</w:t>
      </w:r>
    </w:p>
    <w:p>
      <w:pPr>
        <w:pStyle w:val="0"/>
        <w:suppressAutoHyphens w:val="1"/>
        <w:spacing w:line="240" w:lineRule="exact"/>
        <w:ind w:left="1230" w:hanging="1230"/>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（留意事項）</w:t>
      </w: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　①　本認定とは別に、金融機関及び信用保証協会による金融上の審査があります。</w:t>
      </w:r>
    </w:p>
    <w:p>
      <w:pPr>
        <w:pStyle w:val="0"/>
        <w:widowControl w:val="1"/>
        <w:spacing w:line="300" w:lineRule="exact"/>
        <w:ind w:left="411" w:hanging="411" w:hangingChars="257"/>
        <w:jc w:val="left"/>
        <w:rPr>
          <w:rFonts w:hint="default" w:ascii="ＭＳ ゴシック" w:hAnsi="ＭＳ ゴシック" w:eastAsia="ＭＳ ゴシック"/>
          <w:sz w:val="20"/>
        </w:rPr>
      </w:pPr>
      <w:r>
        <w:rPr>
          <w:rFonts w:hint="eastAsia" w:ascii="ＭＳ ゴシック" w:hAnsi="ＭＳ ゴシック" w:eastAsia="ＭＳ ゴシック"/>
          <w:color w:val="000000"/>
          <w:kern w:val="0"/>
          <w:sz w:val="16"/>
        </w:rPr>
        <w:t>　②　市町村長又は特別区長から認定を受けた後、本認定の有効期間内に金融機関又は信用保証協会に対して、経営安定関連保証の申込みを行うことが必要です。</w:t>
      </w:r>
    </w:p>
    <w:p>
      <w:pPr>
        <w:pStyle w:val="0"/>
        <w:suppressAutoHyphens w:val="1"/>
        <w:spacing w:line="320" w:lineRule="exact"/>
        <w:ind w:left="737" w:right="690" w:hanging="737"/>
        <w:jc w:val="right"/>
        <w:textAlignment w:val="baseline"/>
        <w:rPr>
          <w:rFonts w:hint="default" w:ascii="ＭＳ ゴシック" w:hAnsi="ＭＳ ゴシック" w:eastAsia="ＭＳ ゴシック"/>
          <w:color w:val="000000"/>
          <w:kern w:val="0"/>
        </w:rPr>
        <w:sectPr>
          <w:pgSz w:w="11906" w:h="16838"/>
          <w:pgMar w:top="1134" w:right="1134" w:bottom="1134" w:left="1134" w:header="851" w:footer="736" w:gutter="0"/>
          <w:cols w:space="720"/>
          <w:textDirection w:val="lrTb"/>
          <w:docGrid w:linePitch="360"/>
        </w:sectPr>
      </w:pPr>
      <w:r>
        <w:rPr>
          <w:rFonts w:hint="default" w:ascii="ＭＳ ゴシック" w:hAnsi="ＭＳ ゴシック" w:eastAsia="ＭＳ ゴシック"/>
          <w:color w:val="000000"/>
          <w:kern w:val="0"/>
          <w:sz w:val="24"/>
        </w:rPr>
        <mc:AlternateContent>
          <mc:Choice Requires="wps">
            <w:drawing>
              <wp:anchor distT="0" distB="0" distL="114300" distR="114300" simplePos="0" relativeHeight="2" behindDoc="0" locked="0" layoutInCell="1" hidden="0" allowOverlap="1">
                <wp:simplePos x="0" y="0"/>
                <wp:positionH relativeFrom="column">
                  <wp:posOffset>2971165</wp:posOffset>
                </wp:positionH>
                <wp:positionV relativeFrom="paragraph">
                  <wp:posOffset>408940</wp:posOffset>
                </wp:positionV>
                <wp:extent cx="180975" cy="111760"/>
                <wp:effectExtent l="0" t="0" r="635" b="635"/>
                <wp:wrapNone/>
                <wp:docPr id="1027" name="正方形/長方形 7"/>
                <a:graphic xmlns:a="http://schemas.openxmlformats.org/drawingml/2006/main">
                  <a:graphicData uri="http://schemas.microsoft.com/office/word/2010/wordprocessingShape">
                    <wps:wsp>
                      <wps:cNvPr id="1027" name="正方形/長方形 7"/>
                      <wps:cNvSpPr/>
                      <wps:spPr>
                        <a:xfrm>
                          <a:off x="0" y="0"/>
                          <a:ext cx="180975" cy="111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7" style="mso-position-vertical-relative:text;z-index:2;mso-wrap-distance-left:9pt;width:14.25pt;height:8.8000000000000007pt;mso-position-horizontal-relative:text;position:absolute;margin-left:233.95pt;margin-top:32.200000000000003pt;mso-wrap-distance-bottom:0pt;mso-wrap-distance-right:9pt;mso-wrap-distance-top:0pt;" o:spid="_x0000_s1027" o:allowincell="t" o:allowoverlap="t" filled="t" fillcolor="#ffffff [3212]" stroked="f" strokecolor="#385d8a" strokeweight="2pt" o:spt="1">
                <v:fill/>
                <v:stroke linestyle="single" endcap="flat" dashstyle="solid"/>
                <v:textbox style="layout-flow:horizontal;"/>
                <v:imagedata o:title=""/>
                <w10:wrap type="none" anchorx="text" anchory="text"/>
              </v:rect>
            </w:pict>
          </mc:Fallback>
        </mc:AlternateContent>
      </w:r>
    </w:p>
    <w:p>
      <w:pPr>
        <w:pStyle w:val="0"/>
        <w:rPr>
          <w:rFonts w:hint="default"/>
        </w:rPr>
      </w:pPr>
    </w:p>
    <w:sectPr>
      <w:pgSz w:w="11906" w:h="16838"/>
      <w:pgMar w:top="1985" w:right="1701" w:bottom="1701" w:left="1701"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3</Words>
  <Characters>1165</Characters>
  <Application>JUST Note</Application>
  <Lines>63</Lines>
  <Paragraphs>45</Paragraphs>
  <Company>経済産業省</Company>
  <CharactersWithSpaces>1959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杉渕 拓弥</cp:lastModifiedBy>
  <cp:lastPrinted>2021-12-24T06:50:00Z</cp:lastPrinted>
  <dcterms:created xsi:type="dcterms:W3CDTF">2021-12-24T06:26:00Z</dcterms:created>
  <dcterms:modified xsi:type="dcterms:W3CDTF">2024-07-02T07:21:52Z</dcterms:modified>
  <cp:revision>8</cp:revision>
</cp:coreProperties>
</file>